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C41" w:rsidRPr="001E51B1" w:rsidRDefault="00621C41" w:rsidP="00621C41">
      <w:pPr>
        <w:rPr>
          <w:rFonts w:ascii="Times New Roman" w:eastAsia="Times New Roman" w:hAnsi="Times New Roman" w:cs="Times New Roman"/>
          <w:b/>
          <w:bCs/>
          <w:sz w:val="20"/>
          <w:szCs w:val="20"/>
          <w:lang w:eastAsia="en-GB"/>
        </w:rPr>
      </w:pPr>
      <w:r w:rsidRPr="001E51B1">
        <w:rPr>
          <w:rFonts w:ascii="Times New Roman" w:eastAsia="Times New Roman" w:hAnsi="Times New Roman" w:cs="Times New Roman"/>
          <w:b/>
          <w:bCs/>
          <w:sz w:val="20"/>
          <w:szCs w:val="20"/>
          <w:lang w:eastAsia="en-GB"/>
        </w:rPr>
        <w:t>S.36.03. - IGT - Internal Reinsurance</w:t>
      </w:r>
      <w:r w:rsidR="002A38BE">
        <w:rPr>
          <w:rFonts w:ascii="Times New Roman" w:eastAsia="Times New Roman" w:hAnsi="Times New Roman" w:cs="Times New Roman"/>
          <w:b/>
          <w:bCs/>
          <w:sz w:val="20"/>
          <w:szCs w:val="20"/>
          <w:lang w:eastAsia="en-GB"/>
        </w:rPr>
        <w:t xml:space="preserve"> (old IGT3)</w:t>
      </w:r>
    </w:p>
    <w:p w:rsidR="002A38BE" w:rsidRPr="008B28ED" w:rsidRDefault="002A38BE" w:rsidP="001E51B1">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A38BE" w:rsidRDefault="002A38BE" w:rsidP="001E51B1">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055BEA" w:rsidRPr="00D71D84" w:rsidRDefault="00055BEA" w:rsidP="001E51B1">
      <w:pPr>
        <w:snapToGrid w:val="0"/>
        <w:spacing w:after="0" w:line="240" w:lineRule="auto"/>
        <w:jc w:val="both"/>
        <w:rPr>
          <w:rFonts w:ascii="Times New Roman" w:hAnsi="Times New Roman" w:cs="Times New Roman"/>
          <w:color w:val="000000"/>
          <w:sz w:val="20"/>
          <w:szCs w:val="20"/>
        </w:rPr>
      </w:pPr>
      <w:r w:rsidRPr="00D71D84">
        <w:rPr>
          <w:rFonts w:ascii="Times New Roman" w:hAnsi="Times New Roman" w:cs="Times New Roman"/>
          <w:sz w:val="20"/>
          <w:szCs w:val="20"/>
        </w:rPr>
        <w:t xml:space="preserve">The purpose of this template is to collect information on all (significant, very significant and transactions required to be reported in all circumstances) IGTs related to equity, debt, reciprocal financing and asset transfers related transactions within a group. These include, but are not limited to: </w:t>
      </w:r>
    </w:p>
    <w:p w:rsidR="00055BEA" w:rsidRPr="00D71D84" w:rsidRDefault="00055BEA" w:rsidP="001E51B1">
      <w:pPr>
        <w:numPr>
          <w:ilvl w:val="0"/>
          <w:numId w:val="4"/>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D71D84">
        <w:rPr>
          <w:rFonts w:ascii="Times New Roman" w:hAnsi="Times New Roman" w:cs="Times New Roman"/>
          <w:color w:val="000000"/>
          <w:sz w:val="20"/>
          <w:szCs w:val="20"/>
        </w:rPr>
        <w:t>equity and other capital items including participations in related entities and transfer shares of related entities of the group;</w:t>
      </w:r>
    </w:p>
    <w:p w:rsidR="00055BEA" w:rsidRPr="00D71D84" w:rsidRDefault="00055BEA" w:rsidP="001E51B1">
      <w:pPr>
        <w:numPr>
          <w:ilvl w:val="0"/>
          <w:numId w:val="4"/>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proofErr w:type="gramStart"/>
      <w:r w:rsidRPr="00D71D84">
        <w:rPr>
          <w:rFonts w:ascii="Times New Roman" w:hAnsi="Times New Roman" w:cs="Times New Roman"/>
          <w:color w:val="000000"/>
          <w:sz w:val="20"/>
          <w:szCs w:val="20"/>
        </w:rPr>
        <w:t>debt</w:t>
      </w:r>
      <w:proofErr w:type="gramEnd"/>
      <w:r w:rsidRPr="00D71D84">
        <w:rPr>
          <w:rFonts w:ascii="Times New Roman" w:hAnsi="Times New Roman" w:cs="Times New Roman"/>
          <w:color w:val="000000"/>
          <w:sz w:val="20"/>
          <w:szCs w:val="20"/>
        </w:rPr>
        <w:t xml:space="preserve"> including bonds, loans, collateralised debt, and other transactions of similar nature e.g. with periodic pre-determined interest or coupon or premium payments for a pre-determined period of time.  </w:t>
      </w:r>
    </w:p>
    <w:p w:rsidR="00055BEA" w:rsidRPr="00D71D84" w:rsidRDefault="00055BEA" w:rsidP="001E51B1">
      <w:pPr>
        <w:numPr>
          <w:ilvl w:val="0"/>
          <w:numId w:val="4"/>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055BEA" w:rsidRPr="00D71D84" w:rsidRDefault="00055BEA" w:rsidP="001E51B1">
      <w:pPr>
        <w:tabs>
          <w:tab w:val="left" w:pos="459"/>
        </w:tabs>
        <w:snapToGrid w:val="0"/>
        <w:spacing w:after="0" w:line="240" w:lineRule="auto"/>
        <w:ind w:left="175"/>
        <w:jc w:val="both"/>
        <w:rPr>
          <w:rFonts w:ascii="Times New Roman" w:hAnsi="Times New Roman" w:cs="Times New Roman"/>
          <w:color w:val="000000"/>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report all IGTs between entities in scope of group supervision, irrespective of the choice of calculation method or whether </w:t>
      </w:r>
      <w:proofErr w:type="spellStart"/>
      <w:r w:rsidRPr="008C309E">
        <w:rPr>
          <w:rFonts w:ascii="Times New Roman" w:hAnsi="Times New Roman" w:cs="Times New Roman"/>
          <w:sz w:val="20"/>
          <w:szCs w:val="20"/>
        </w:rPr>
        <w:t>sectoral</w:t>
      </w:r>
      <w:proofErr w:type="spellEnd"/>
      <w:r w:rsidRPr="008C309E">
        <w:rPr>
          <w:rFonts w:ascii="Times New Roman" w:hAnsi="Times New Roman" w:cs="Times New Roman"/>
          <w:sz w:val="20"/>
          <w:szCs w:val="20"/>
        </w:rPr>
        <w:t xml:space="preserve"> solvency rules have been used for the purposes of the group solvency calculation. </w:t>
      </w:r>
    </w:p>
    <w:p w:rsidR="00055BEA" w:rsidRPr="008C309E" w:rsidRDefault="00055BEA" w:rsidP="001E51B1">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p>
    <w:p w:rsidR="00055BEA" w:rsidRPr="008C309E" w:rsidRDefault="00055BEA" w:rsidP="001E51B1">
      <w:pPr>
        <w:pStyle w:val="ListParagraph"/>
        <w:numPr>
          <w:ilvl w:val="0"/>
          <w:numId w:val="7"/>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1. </w:t>
      </w:r>
    </w:p>
    <w:p w:rsidR="00055BEA" w:rsidRPr="008C309E" w:rsidRDefault="00055BEA" w:rsidP="001E51B1">
      <w:pPr>
        <w:pStyle w:val="ListParagraph"/>
        <w:numPr>
          <w:ilvl w:val="0"/>
          <w:numId w:val="7"/>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2. </w:t>
      </w:r>
    </w:p>
    <w:p w:rsidR="00055BEA" w:rsidRPr="008C309E" w:rsidRDefault="00055BEA" w:rsidP="001E51B1">
      <w:pPr>
        <w:pStyle w:val="ListParagraph"/>
        <w:numPr>
          <w:ilvl w:val="0"/>
          <w:numId w:val="7"/>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credit institutions, investment firms and financial institutions.</w:t>
      </w:r>
    </w:p>
    <w:p w:rsidR="00055BEA" w:rsidRPr="008C309E" w:rsidRDefault="00055BEA" w:rsidP="001E51B1">
      <w:pPr>
        <w:pStyle w:val="ListParagraph"/>
        <w:numPr>
          <w:ilvl w:val="0"/>
          <w:numId w:val="7"/>
        </w:num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Related third country undertakings.</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055BEA" w:rsidRPr="008C309E" w:rsidRDefault="00055BEA" w:rsidP="001E51B1">
      <w:pPr>
        <w:pStyle w:val="ListParagraph"/>
        <w:numPr>
          <w:ilvl w:val="0"/>
          <w:numId w:val="8"/>
        </w:num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in</w:t>
      </w:r>
      <w:bookmarkStart w:id="0" w:name="_GoBack"/>
      <w:bookmarkEnd w:id="0"/>
      <w:r w:rsidRPr="008C309E">
        <w:rPr>
          <w:rFonts w:ascii="Times New Roman" w:hAnsi="Times New Roman" w:cs="Times New Roman"/>
          <w:sz w:val="20"/>
          <w:szCs w:val="20"/>
        </w:rPr>
        <w:t xml:space="preserve">-force at the start of the reporting period. </w:t>
      </w:r>
    </w:p>
    <w:p w:rsidR="00055BEA" w:rsidRPr="008C309E" w:rsidRDefault="00055BEA" w:rsidP="001E51B1">
      <w:pPr>
        <w:pStyle w:val="ListParagraph"/>
        <w:numPr>
          <w:ilvl w:val="0"/>
          <w:numId w:val="8"/>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055BEA" w:rsidRPr="008C309E" w:rsidRDefault="00055BEA" w:rsidP="001E51B1">
      <w:pPr>
        <w:pStyle w:val="ListParagraph"/>
        <w:numPr>
          <w:ilvl w:val="0"/>
          <w:numId w:val="8"/>
        </w:numPr>
        <w:suppressAutoHyphens/>
        <w:snapToGrid w:val="0"/>
        <w:spacing w:after="0" w:line="240" w:lineRule="auto"/>
        <w:jc w:val="both"/>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055BEA" w:rsidRPr="008C309E" w:rsidRDefault="00055BEA" w:rsidP="001E51B1">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where collectively (i.e. as if the transactions were executed as a single transaction), they are at or above the corresponding threshold values for significant or very significant IGTs.  </w:t>
      </w:r>
    </w:p>
    <w:p w:rsidR="00055BEA" w:rsidRPr="008C309E" w:rsidRDefault="00055BEA" w:rsidP="001E51B1">
      <w:pPr>
        <w:suppressAutoHyphens/>
        <w:snapToGrid w:val="0"/>
        <w:spacing w:after="0" w:line="240" w:lineRule="auto"/>
        <w:ind w:left="28" w:firstLine="5"/>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p>
    <w:p w:rsidR="00055BEA" w:rsidRPr="008C309E" w:rsidRDefault="00055BEA" w:rsidP="001E51B1">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55BEA" w:rsidRDefault="00055BEA" w:rsidP="00055BE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
      <w:tr w:rsidR="00055BEA" w:rsidRPr="002A38BE" w:rsidTr="001E51B1">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1E51B1">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rsidR="00055BEA" w:rsidRPr="002A38BE" w:rsidRDefault="00055BEA" w:rsidP="001E51B1">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rsidR="00055BEA" w:rsidRPr="002A38BE" w:rsidRDefault="00055BEA" w:rsidP="001E51B1">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621C41" w:rsidRPr="002A38BE" w:rsidTr="001E51B1">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70DC3"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621C41" w:rsidRPr="001E51B1">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ID of intergroup transaction</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621C41" w:rsidRPr="002A38BE" w:rsidTr="001E51B1">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C0020 (</w:t>
            </w:r>
            <w:r w:rsidR="00621C41" w:rsidRPr="001E51B1">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Name of</w:t>
            </w:r>
            <w:r w:rsidR="007947AB" w:rsidRPr="001E51B1">
              <w:rPr>
                <w:rFonts w:ascii="Times New Roman" w:eastAsia="Times New Roman" w:hAnsi="Times New Roman" w:cs="Times New Roman"/>
                <w:color w:val="000000"/>
                <w:sz w:val="20"/>
                <w:szCs w:val="20"/>
                <w:lang w:eastAsia="en-GB"/>
              </w:rPr>
              <w:t xml:space="preserve"> cedent </w:t>
            </w:r>
            <w:r w:rsidRPr="001E51B1">
              <w:rPr>
                <w:rFonts w:ascii="Times New Roman" w:eastAsia="Times New Roman" w:hAnsi="Times New Roman" w:cs="Times New Roman"/>
                <w:color w:val="000000"/>
                <w:sz w:val="20"/>
                <w:szCs w:val="20"/>
                <w:lang w:eastAsia="en-GB"/>
              </w:rPr>
              <w:t xml:space="preserv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782B77"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Legal name of the entity that has transferred the underwriting risk to </w:t>
            </w:r>
            <w:r w:rsidR="00352929" w:rsidRPr="001E51B1">
              <w:rPr>
                <w:rFonts w:ascii="Times New Roman" w:eastAsia="Times New Roman" w:hAnsi="Times New Roman" w:cs="Times New Roman"/>
                <w:color w:val="000000"/>
                <w:sz w:val="20"/>
                <w:szCs w:val="20"/>
                <w:lang w:eastAsia="en-GB"/>
              </w:rPr>
              <w:t xml:space="preserve">another insurer </w:t>
            </w:r>
            <w:proofErr w:type="gramStart"/>
            <w:r w:rsidR="00352929" w:rsidRPr="001E51B1">
              <w:rPr>
                <w:rFonts w:ascii="Times New Roman" w:eastAsia="Times New Roman" w:hAnsi="Times New Roman" w:cs="Times New Roman"/>
                <w:color w:val="000000"/>
                <w:sz w:val="20"/>
                <w:szCs w:val="20"/>
                <w:lang w:eastAsia="en-GB"/>
              </w:rPr>
              <w:t xml:space="preserve">or </w:t>
            </w:r>
            <w:r w:rsidRPr="001E51B1">
              <w:rPr>
                <w:rFonts w:ascii="Times New Roman" w:eastAsia="Times New Roman" w:hAnsi="Times New Roman" w:cs="Times New Roman"/>
                <w:color w:val="000000"/>
                <w:sz w:val="20"/>
                <w:szCs w:val="20"/>
                <w:lang w:eastAsia="en-GB"/>
              </w:rPr>
              <w:t xml:space="preserve"> reinsurer</w:t>
            </w:r>
            <w:proofErr w:type="gramEnd"/>
            <w:r w:rsidR="00352929" w:rsidRPr="001E51B1">
              <w:rPr>
                <w:rFonts w:ascii="Times New Roman" w:eastAsia="Times New Roman" w:hAnsi="Times New Roman" w:cs="Times New Roman"/>
                <w:color w:val="000000"/>
                <w:sz w:val="20"/>
                <w:szCs w:val="20"/>
                <w:lang w:eastAsia="en-GB"/>
              </w:rPr>
              <w:t xml:space="preserve"> within the group</w:t>
            </w:r>
            <w:r w:rsidRPr="001E51B1">
              <w:rPr>
                <w:rFonts w:ascii="Times New Roman" w:eastAsia="Times New Roman" w:hAnsi="Times New Roman" w:cs="Times New Roman"/>
                <w:color w:val="000000"/>
                <w:sz w:val="20"/>
                <w:szCs w:val="20"/>
                <w:lang w:eastAsia="en-GB"/>
              </w:rPr>
              <w:t xml:space="preserve">. </w:t>
            </w:r>
          </w:p>
          <w:p w:rsidR="00621C41" w:rsidRPr="001E51B1" w:rsidRDefault="007947AB" w:rsidP="007947AB">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br/>
            </w:r>
          </w:p>
        </w:tc>
      </w:tr>
      <w:tr w:rsidR="00621C41" w:rsidRPr="002A38BE" w:rsidTr="001E51B1">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C0030 (</w:t>
            </w:r>
            <w:r w:rsidR="00621C41" w:rsidRPr="001E51B1">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Identification code </w:t>
            </w:r>
            <w:r w:rsidR="007947AB" w:rsidRPr="001E51B1">
              <w:rPr>
                <w:rFonts w:ascii="Times New Roman" w:eastAsia="Times New Roman" w:hAnsi="Times New Roman" w:cs="Times New Roman"/>
                <w:color w:val="000000"/>
                <w:sz w:val="20"/>
                <w:szCs w:val="20"/>
                <w:lang w:eastAsia="en-GB"/>
              </w:rPr>
              <w:t>of cedent</w:t>
            </w:r>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1E51B1"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tcPr>
          <w:p w:rsidR="00055BEA" w:rsidRDefault="00055BEA" w:rsidP="00621C4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238" w:type="dxa"/>
            <w:tcBorders>
              <w:top w:val="single" w:sz="4" w:space="0" w:color="auto"/>
              <w:left w:val="nil"/>
              <w:bottom w:val="nil"/>
              <w:right w:val="single" w:sz="4" w:space="0" w:color="auto"/>
            </w:tcBorders>
            <w:shd w:val="clear" w:color="auto" w:fill="auto"/>
          </w:tcPr>
          <w:p w:rsidR="00055BEA" w:rsidRPr="008C309E"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proofErr w:type="spellStart"/>
            <w:r>
              <w:rPr>
                <w:rFonts w:ascii="Times New Roman" w:eastAsia="Times New Roman" w:hAnsi="Times New Roman" w:cs="Times New Roman"/>
                <w:color w:val="000000"/>
                <w:sz w:val="20"/>
                <w:szCs w:val="20"/>
                <w:lang w:eastAsia="en-GB"/>
              </w:rPr>
              <w:t>cedant</w:t>
            </w:r>
            <w:proofErr w:type="spellEnd"/>
          </w:p>
          <w:p w:rsidR="00055BEA" w:rsidRDefault="00055BEA" w:rsidP="00352929">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rsidR="00055BEA" w:rsidRPr="002A38B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proofErr w:type="spellStart"/>
            <w:r>
              <w:rPr>
                <w:rFonts w:ascii="Times New Roman" w:eastAsia="Times New Roman" w:hAnsi="Times New Roman" w:cs="Times New Roman"/>
                <w:color w:val="000000"/>
                <w:sz w:val="20"/>
                <w:szCs w:val="20"/>
                <w:lang w:eastAsia="en-GB"/>
              </w:rPr>
              <w:t>cedant</w:t>
            </w:r>
            <w:proofErr w:type="spellEnd"/>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DD0121"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N</w:t>
            </w:r>
            <w:r w:rsidR="00621C41" w:rsidRPr="001E51B1">
              <w:rPr>
                <w:rFonts w:ascii="Times New Roman" w:eastAsia="Times New Roman" w:hAnsi="Times New Roman" w:cs="Times New Roman"/>
                <w:color w:val="000000"/>
                <w:sz w:val="20"/>
                <w:szCs w:val="20"/>
                <w:lang w:eastAsia="en-GB"/>
              </w:rPr>
              <w:t>ame of reinsurer</w:t>
            </w:r>
          </w:p>
        </w:tc>
        <w:tc>
          <w:tcPr>
            <w:tcW w:w="5929" w:type="dxa"/>
            <w:tcBorders>
              <w:top w:val="single" w:sz="4" w:space="0" w:color="auto"/>
              <w:left w:val="nil"/>
              <w:bottom w:val="nil"/>
              <w:right w:val="single" w:sz="4" w:space="0" w:color="auto"/>
            </w:tcBorders>
            <w:shd w:val="clear" w:color="auto" w:fill="auto"/>
            <w:hideMark/>
          </w:tcPr>
          <w:p w:rsidR="00782B77" w:rsidRPr="001E51B1" w:rsidRDefault="00621C41"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Legal name of the reinsurer to whom the underwriting risk has been transferred</w:t>
            </w:r>
            <w:r w:rsidR="00782B77" w:rsidRPr="001E51B1">
              <w:rPr>
                <w:rFonts w:ascii="Times New Roman" w:eastAsia="Times New Roman" w:hAnsi="Times New Roman" w:cs="Times New Roman"/>
                <w:color w:val="000000"/>
                <w:sz w:val="20"/>
                <w:szCs w:val="20"/>
                <w:lang w:eastAsia="en-GB"/>
              </w:rPr>
              <w:t xml:space="preserve">. </w:t>
            </w:r>
          </w:p>
          <w:p w:rsidR="00621C41" w:rsidRPr="001E51B1" w:rsidRDefault="00782B77"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1E51B1">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055BE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DD0121"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Identification code </w:t>
            </w:r>
            <w:r w:rsidR="00352929" w:rsidRPr="001E51B1">
              <w:rPr>
                <w:rFonts w:ascii="Times New Roman" w:eastAsia="Times New Roman" w:hAnsi="Times New Roman" w:cs="Times New Roman"/>
                <w:color w:val="000000"/>
                <w:sz w:val="20"/>
                <w:szCs w:val="20"/>
                <w:lang w:eastAsia="en-GB"/>
              </w:rPr>
              <w:t xml:space="preserve"> of reinsurer</w:t>
            </w:r>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1E51B1"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1E51B1">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238" w:type="dxa"/>
            <w:tcBorders>
              <w:top w:val="single" w:sz="4" w:space="0" w:color="auto"/>
              <w:left w:val="nil"/>
              <w:bottom w:val="single" w:sz="4" w:space="0" w:color="auto"/>
              <w:right w:val="single" w:sz="4" w:space="0" w:color="auto"/>
            </w:tcBorders>
            <w:shd w:val="clear" w:color="auto" w:fill="auto"/>
          </w:tcPr>
          <w:p w:rsidR="00055BEA" w:rsidRPr="008C309E" w:rsidRDefault="00055BEA"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Pr>
                <w:rFonts w:ascii="Times New Roman" w:eastAsia="Times New Roman" w:hAnsi="Times New Roman" w:cs="Times New Roman"/>
                <w:color w:val="000000"/>
                <w:sz w:val="20"/>
                <w:szCs w:val="20"/>
                <w:lang w:eastAsia="en-GB"/>
              </w:rPr>
              <w:t>reinsurer</w:t>
            </w:r>
          </w:p>
          <w:p w:rsidR="00055BEA" w:rsidRDefault="00055BEA" w:rsidP="008C309E">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rsidR="00055BEA" w:rsidRPr="008C309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reinsurer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1E51B1">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BC55BA"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F6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782B77" w:rsidRPr="001E51B1" w:rsidRDefault="00214695"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hAnsi="Times New Roman" w:cs="Times New Roman"/>
                <w:sz w:val="20"/>
                <w:szCs w:val="20"/>
              </w:rPr>
              <w:t>Identify the ISO 8601 (</w:t>
            </w:r>
            <w:proofErr w:type="spellStart"/>
            <w:r w:rsidRPr="001E51B1">
              <w:rPr>
                <w:rFonts w:ascii="Times New Roman" w:hAnsi="Times New Roman" w:cs="Times New Roman"/>
                <w:sz w:val="20"/>
                <w:szCs w:val="20"/>
              </w:rPr>
              <w:t>yyyy</w:t>
            </w:r>
            <w:proofErr w:type="spellEnd"/>
            <w:r w:rsidRPr="001E51B1">
              <w:rPr>
                <w:rFonts w:ascii="Times New Roman" w:hAnsi="Times New Roman" w:cs="Times New Roman"/>
                <w:sz w:val="20"/>
                <w:szCs w:val="20"/>
              </w:rPr>
              <w:t>-mm-</w:t>
            </w:r>
            <w:proofErr w:type="spellStart"/>
            <w:r w:rsidRPr="001E51B1">
              <w:rPr>
                <w:rFonts w:ascii="Times New Roman" w:hAnsi="Times New Roman" w:cs="Times New Roman"/>
                <w:sz w:val="20"/>
                <w:szCs w:val="20"/>
              </w:rPr>
              <w:t>dd</w:t>
            </w:r>
            <w:proofErr w:type="spellEnd"/>
            <w:r w:rsidRPr="001E51B1">
              <w:rPr>
                <w:rFonts w:ascii="Times New Roman" w:hAnsi="Times New Roman" w:cs="Times New Roman"/>
                <w:sz w:val="20"/>
                <w:szCs w:val="20"/>
              </w:rPr>
              <w:t xml:space="preserve">) code of the </w:t>
            </w:r>
            <w:r w:rsidR="00782B77" w:rsidRPr="001E51B1">
              <w:rPr>
                <w:rFonts w:ascii="Times New Roman" w:eastAsia="Times New Roman" w:hAnsi="Times New Roman" w:cs="Times New Roman"/>
                <w:color w:val="000000"/>
                <w:sz w:val="20"/>
                <w:szCs w:val="20"/>
                <w:lang w:eastAsia="en-GB"/>
              </w:rPr>
              <w:t>d</w:t>
            </w:r>
            <w:r w:rsidR="00621C41" w:rsidRPr="001E51B1">
              <w:rPr>
                <w:rFonts w:ascii="Times New Roman" w:eastAsia="Times New Roman" w:hAnsi="Times New Roman" w:cs="Times New Roman"/>
                <w:color w:val="000000"/>
                <w:sz w:val="20"/>
                <w:szCs w:val="20"/>
                <w:lang w:eastAsia="en-GB"/>
              </w:rPr>
              <w:t>ate of commencement of the specific reinsurance contract/treaty.</w:t>
            </w:r>
            <w:r w:rsidR="00782B77" w:rsidRPr="001E51B1">
              <w:rPr>
                <w:rFonts w:ascii="Times New Roman" w:eastAsia="Times New Roman" w:hAnsi="Times New Roman" w:cs="Times New Roman"/>
                <w:color w:val="000000"/>
                <w:sz w:val="20"/>
                <w:szCs w:val="20"/>
                <w:lang w:eastAsia="en-GB"/>
              </w:rPr>
              <w:t xml:space="preserve"> </w:t>
            </w:r>
          </w:p>
          <w:p w:rsidR="00621C41" w:rsidRPr="001E51B1" w:rsidRDefault="00782B77"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1E51B1">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1E51B1">
        <w:trPr>
          <w:trHeight w:val="142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BC55B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w:t>
            </w:r>
            <w:r w:rsidR="00055BEA">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G6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nil"/>
              <w:right w:val="single" w:sz="4" w:space="0" w:color="auto"/>
            </w:tcBorders>
            <w:shd w:val="clear" w:color="auto" w:fill="auto"/>
            <w:hideMark/>
          </w:tcPr>
          <w:p w:rsidR="00621C41" w:rsidRPr="001E51B1" w:rsidRDefault="00214695"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hAnsi="Times New Roman" w:cs="Times New Roman"/>
                <w:sz w:val="20"/>
                <w:szCs w:val="20"/>
              </w:rPr>
              <w:t>Identify the ISO 8601 (</w:t>
            </w:r>
            <w:proofErr w:type="spellStart"/>
            <w:r w:rsidRPr="001E51B1">
              <w:rPr>
                <w:rFonts w:ascii="Times New Roman" w:hAnsi="Times New Roman" w:cs="Times New Roman"/>
                <w:sz w:val="20"/>
                <w:szCs w:val="20"/>
              </w:rPr>
              <w:t>yyyy</w:t>
            </w:r>
            <w:proofErr w:type="spellEnd"/>
            <w:r w:rsidRPr="001E51B1">
              <w:rPr>
                <w:rFonts w:ascii="Times New Roman" w:hAnsi="Times New Roman" w:cs="Times New Roman"/>
                <w:sz w:val="20"/>
                <w:szCs w:val="20"/>
              </w:rPr>
              <w:t>-mm-</w:t>
            </w:r>
            <w:proofErr w:type="spellStart"/>
            <w:r w:rsidRPr="001E51B1">
              <w:rPr>
                <w:rFonts w:ascii="Times New Roman" w:hAnsi="Times New Roman" w:cs="Times New Roman"/>
                <w:sz w:val="20"/>
                <w:szCs w:val="20"/>
              </w:rPr>
              <w:t>dd</w:t>
            </w:r>
            <w:proofErr w:type="spellEnd"/>
            <w:r w:rsidRPr="001E51B1">
              <w:rPr>
                <w:rFonts w:ascii="Times New Roman" w:hAnsi="Times New Roman" w:cs="Times New Roman"/>
                <w:sz w:val="20"/>
                <w:szCs w:val="20"/>
              </w:rPr>
              <w:t xml:space="preserve">) code of the </w:t>
            </w:r>
            <w:r w:rsidR="00782B77" w:rsidRPr="001E51B1">
              <w:rPr>
                <w:rFonts w:ascii="Times New Roman" w:eastAsia="Times New Roman" w:hAnsi="Times New Roman" w:cs="Times New Roman"/>
                <w:color w:val="000000"/>
                <w:sz w:val="20"/>
                <w:szCs w:val="20"/>
                <w:lang w:eastAsia="en-GB"/>
              </w:rPr>
              <w:t>e</w:t>
            </w:r>
            <w:r w:rsidR="00621C41" w:rsidRPr="001E51B1">
              <w:rPr>
                <w:rFonts w:ascii="Times New Roman" w:eastAsia="Times New Roman" w:hAnsi="Times New Roman" w:cs="Times New Roman"/>
                <w:color w:val="000000"/>
                <w:sz w:val="20"/>
                <w:szCs w:val="20"/>
                <w:lang w:eastAsia="en-GB"/>
              </w:rPr>
              <w:t>xpiry date of the specific reinsurance contract/treaty (i.e. the last date the specific reinsurance contract/treaty is in force). This item is not reported if there is no expiry date (for example, contract is continuous and ends by one of the parties giving notice).</w:t>
            </w:r>
          </w:p>
          <w:p w:rsidR="00782B77" w:rsidRPr="001E51B1" w:rsidRDefault="00782B77"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1E51B1">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AC14BC"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055BEA">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nil"/>
              <w:bottom w:val="nil"/>
              <w:right w:val="single" w:sz="4" w:space="0" w:color="auto"/>
            </w:tcBorders>
            <w:shd w:val="clear" w:color="auto" w:fill="auto"/>
            <w:hideMark/>
          </w:tcPr>
          <w:p w:rsidR="00621C41" w:rsidRPr="001E51B1" w:rsidRDefault="00214695" w:rsidP="00782B77">
            <w:pPr>
              <w:spacing w:after="0" w:line="240" w:lineRule="auto"/>
              <w:rPr>
                <w:rFonts w:ascii="Times New Roman" w:eastAsia="Times New Roman" w:hAnsi="Times New Roman" w:cs="Times New Roman"/>
                <w:color w:val="000000"/>
                <w:sz w:val="20"/>
                <w:szCs w:val="20"/>
                <w:lang w:eastAsia="en-GB"/>
              </w:rPr>
            </w:pPr>
            <w:r w:rsidRPr="001E51B1">
              <w:rPr>
                <w:rFonts w:ascii="Times New Roman" w:hAnsi="Times New Roman" w:cs="Times New Roman"/>
                <w:sz w:val="20"/>
                <w:szCs w:val="20"/>
              </w:rPr>
              <w:t>Identify the ISO 4217 alphabetic code of the</w:t>
            </w:r>
            <w:r w:rsidRPr="001E51B1">
              <w:rPr>
                <w:rFonts w:ascii="Times New Roman" w:eastAsia="Times New Roman" w:hAnsi="Times New Roman" w:cs="Times New Roman"/>
                <w:color w:val="000000"/>
                <w:sz w:val="20"/>
                <w:szCs w:val="20"/>
                <w:lang w:eastAsia="en-GB"/>
              </w:rPr>
              <w:t xml:space="preserve"> </w:t>
            </w:r>
            <w:r w:rsidR="00782B77" w:rsidRPr="001E51B1">
              <w:rPr>
                <w:rFonts w:ascii="Times New Roman" w:eastAsia="Times New Roman" w:hAnsi="Times New Roman" w:cs="Times New Roman"/>
                <w:color w:val="000000"/>
                <w:sz w:val="20"/>
                <w:szCs w:val="20"/>
                <w:lang w:eastAsia="en-GB"/>
              </w:rPr>
              <w:t>c</w:t>
            </w:r>
            <w:r w:rsidR="00621C41" w:rsidRPr="001E51B1">
              <w:rPr>
                <w:rFonts w:ascii="Times New Roman" w:eastAsia="Times New Roman" w:hAnsi="Times New Roman" w:cs="Times New Roman"/>
                <w:color w:val="000000"/>
                <w:sz w:val="20"/>
                <w:szCs w:val="20"/>
                <w:lang w:eastAsia="en-GB"/>
              </w:rPr>
              <w:t>urrency of payments for the specific reinsurance contract/treaty.</w:t>
            </w:r>
          </w:p>
        </w:tc>
      </w:tr>
      <w:tr w:rsidR="00621C41" w:rsidRPr="002A38BE" w:rsidTr="001E51B1">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AC14B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055BEA">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rsidR="006D461E" w:rsidRDefault="00EA20C9" w:rsidP="00352929">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Identify the type of reinsurance contract/treaty. </w:t>
            </w:r>
            <w:r w:rsidR="00DC4E0A">
              <w:rPr>
                <w:rFonts w:ascii="Times New Roman" w:eastAsia="Times New Roman" w:hAnsi="Times New Roman" w:cs="Times New Roman"/>
                <w:color w:val="000000"/>
                <w:sz w:val="20"/>
                <w:szCs w:val="20"/>
                <w:lang w:eastAsia="en-GB"/>
              </w:rPr>
              <w:t>T</w:t>
            </w:r>
            <w:r w:rsidR="00782B77" w:rsidRPr="001E51B1">
              <w:rPr>
                <w:rFonts w:ascii="Times New Roman" w:eastAsia="Times New Roman" w:hAnsi="Times New Roman" w:cs="Times New Roman"/>
                <w:color w:val="000000"/>
                <w:sz w:val="20"/>
                <w:szCs w:val="20"/>
                <w:lang w:eastAsia="en-GB"/>
              </w:rPr>
              <w:t>he following close list shall be used:</w:t>
            </w:r>
            <w:r w:rsidR="00621C41" w:rsidRPr="001E51B1">
              <w:rPr>
                <w:rFonts w:ascii="Times New Roman" w:eastAsia="Times New Roman" w:hAnsi="Times New Roman" w:cs="Times New Roman"/>
                <w:color w:val="000000"/>
                <w:sz w:val="20"/>
                <w:szCs w:val="20"/>
                <w:lang w:eastAsia="en-GB"/>
              </w:rPr>
              <w:t xml:space="preserve"> </w:t>
            </w:r>
            <w:r w:rsidR="00621C41" w:rsidRPr="001E51B1">
              <w:rPr>
                <w:rFonts w:ascii="Times New Roman" w:eastAsia="Times New Roman" w:hAnsi="Times New Roman" w:cs="Times New Roman"/>
                <w:color w:val="000000"/>
                <w:sz w:val="20"/>
                <w:szCs w:val="20"/>
                <w:lang w:eastAsia="en-GB"/>
              </w:rPr>
              <w:br/>
            </w:r>
            <w:r w:rsidR="00AC14BC">
              <w:rPr>
                <w:rFonts w:ascii="Times New Roman" w:eastAsia="Times New Roman" w:hAnsi="Times New Roman" w:cs="Times New Roman"/>
                <w:color w:val="000000"/>
                <w:sz w:val="20"/>
                <w:szCs w:val="20"/>
                <w:lang w:eastAsia="en-GB"/>
              </w:rPr>
              <w:t xml:space="preserve">1 - </w:t>
            </w:r>
            <w:r w:rsidR="00621C41" w:rsidRPr="001E51B1">
              <w:rPr>
                <w:rFonts w:ascii="Times New Roman" w:eastAsia="Times New Roman" w:hAnsi="Times New Roman" w:cs="Times New Roman"/>
                <w:color w:val="000000"/>
                <w:sz w:val="20"/>
                <w:szCs w:val="20"/>
                <w:lang w:eastAsia="en-GB"/>
              </w:rPr>
              <w:t>Financial</w:t>
            </w:r>
            <w:r w:rsidR="00621C41" w:rsidRPr="001E51B1">
              <w:rPr>
                <w:rFonts w:ascii="Times New Roman" w:eastAsia="Times New Roman" w:hAnsi="Times New Roman" w:cs="Times New Roman"/>
                <w:color w:val="000000"/>
                <w:sz w:val="20"/>
                <w:szCs w:val="20"/>
                <w:lang w:eastAsia="en-GB"/>
              </w:rPr>
              <w:br/>
            </w:r>
            <w:r w:rsidR="00AC14BC">
              <w:rPr>
                <w:rFonts w:ascii="Times New Roman" w:eastAsia="Times New Roman" w:hAnsi="Times New Roman" w:cs="Times New Roman"/>
                <w:color w:val="000000"/>
                <w:sz w:val="20"/>
                <w:szCs w:val="20"/>
                <w:lang w:eastAsia="en-GB"/>
              </w:rPr>
              <w:t>2 -</w:t>
            </w:r>
            <w:r w:rsidR="00621C41" w:rsidRPr="001E51B1">
              <w:rPr>
                <w:rFonts w:ascii="Times New Roman" w:eastAsia="Times New Roman" w:hAnsi="Times New Roman" w:cs="Times New Roman"/>
                <w:color w:val="000000"/>
                <w:sz w:val="20"/>
                <w:szCs w:val="20"/>
                <w:lang w:eastAsia="en-GB"/>
              </w:rPr>
              <w:t xml:space="preserve"> Quota share</w:t>
            </w:r>
            <w:r w:rsidR="00621C41" w:rsidRPr="001E51B1">
              <w:rPr>
                <w:rFonts w:ascii="Times New Roman" w:eastAsia="Times New Roman" w:hAnsi="Times New Roman" w:cs="Times New Roman"/>
                <w:color w:val="000000"/>
                <w:sz w:val="20"/>
                <w:szCs w:val="20"/>
                <w:lang w:eastAsia="en-GB"/>
              </w:rPr>
              <w:br/>
            </w:r>
            <w:r w:rsidR="00AC14BC">
              <w:rPr>
                <w:rFonts w:ascii="Times New Roman" w:eastAsia="Times New Roman" w:hAnsi="Times New Roman" w:cs="Times New Roman"/>
                <w:color w:val="000000"/>
                <w:sz w:val="20"/>
                <w:szCs w:val="20"/>
                <w:lang w:eastAsia="en-GB"/>
              </w:rPr>
              <w:t>3</w:t>
            </w:r>
            <w:r w:rsidR="00621C41" w:rsidRPr="001E51B1">
              <w:rPr>
                <w:rFonts w:ascii="Times New Roman" w:eastAsia="Times New Roman" w:hAnsi="Times New Roman" w:cs="Times New Roman"/>
                <w:color w:val="000000"/>
                <w:sz w:val="20"/>
                <w:szCs w:val="20"/>
                <w:lang w:eastAsia="en-GB"/>
              </w:rPr>
              <w:t> </w:t>
            </w:r>
            <w:r w:rsidR="00AC14BC">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Variable quota share</w:t>
            </w:r>
            <w:r w:rsidR="00621C41" w:rsidRPr="001E51B1">
              <w:rPr>
                <w:rFonts w:ascii="Times New Roman" w:eastAsia="Times New Roman" w:hAnsi="Times New Roman" w:cs="Times New Roman"/>
                <w:color w:val="000000"/>
                <w:sz w:val="20"/>
                <w:szCs w:val="20"/>
                <w:lang w:eastAsia="en-GB"/>
              </w:rPr>
              <w:br/>
            </w:r>
            <w:r w:rsidR="00AC14BC">
              <w:rPr>
                <w:rFonts w:ascii="Times New Roman" w:eastAsia="Times New Roman" w:hAnsi="Times New Roman" w:cs="Times New Roman"/>
                <w:color w:val="000000"/>
                <w:sz w:val="20"/>
                <w:szCs w:val="20"/>
                <w:lang w:eastAsia="en-GB"/>
              </w:rPr>
              <w:t xml:space="preserve">4 </w:t>
            </w:r>
            <w:r w:rsidR="00DC4E0A">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Surplus</w:t>
            </w:r>
          </w:p>
          <w:p w:rsidR="006D461E" w:rsidRDefault="00AC14BC"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5 - F</w:t>
            </w:r>
            <w:r w:rsidR="00621C41" w:rsidRPr="001E51B1">
              <w:rPr>
                <w:rFonts w:ascii="Times New Roman" w:eastAsia="Times New Roman" w:hAnsi="Times New Roman" w:cs="Times New Roman"/>
                <w:color w:val="000000"/>
                <w:sz w:val="20"/>
                <w:szCs w:val="20"/>
                <w:lang w:eastAsia="en-GB"/>
              </w:rPr>
              <w:t>acultative-obligatory (</w:t>
            </w:r>
            <w:proofErr w:type="spellStart"/>
            <w:r w:rsidR="00621C41" w:rsidRPr="001E51B1">
              <w:rPr>
                <w:rFonts w:ascii="Times New Roman" w:eastAsia="Times New Roman" w:hAnsi="Times New Roman" w:cs="Times New Roman"/>
                <w:color w:val="000000"/>
                <w:sz w:val="20"/>
                <w:szCs w:val="20"/>
                <w:lang w:eastAsia="en-GB"/>
              </w:rPr>
              <w:t>facoblig</w:t>
            </w:r>
            <w:proofErr w:type="spellEnd"/>
            <w:r w:rsidR="00621C41" w:rsidRPr="001E51B1">
              <w:rPr>
                <w:rFonts w:ascii="Times New Roman" w:eastAsia="Times New Roman" w:hAnsi="Times New Roman" w:cs="Times New Roman"/>
                <w:color w:val="000000"/>
                <w:sz w:val="20"/>
                <w:szCs w:val="20"/>
                <w:lang w:eastAsia="en-GB"/>
              </w:rPr>
              <w:t>)</w:t>
            </w:r>
          </w:p>
          <w:p w:rsidR="00621C41" w:rsidRPr="001E51B1" w:rsidRDefault="00AC14BC"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6</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O</w:t>
            </w:r>
            <w:r w:rsidR="00621C41" w:rsidRPr="001E51B1">
              <w:rPr>
                <w:rFonts w:ascii="Times New Roman" w:eastAsia="Times New Roman" w:hAnsi="Times New Roman" w:cs="Times New Roman"/>
                <w:color w:val="000000"/>
                <w:sz w:val="20"/>
                <w:szCs w:val="20"/>
                <w:lang w:eastAsia="en-GB"/>
              </w:rPr>
              <w:t>pen cover</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7 -</w:t>
            </w:r>
            <w:r w:rsidR="00621C41" w:rsidRPr="001E51B1">
              <w:rPr>
                <w:rFonts w:ascii="Times New Roman" w:eastAsia="Times New Roman" w:hAnsi="Times New Roman" w:cs="Times New Roman"/>
                <w:color w:val="000000"/>
                <w:sz w:val="20"/>
                <w:szCs w:val="20"/>
                <w:lang w:eastAsia="en-GB"/>
              </w:rPr>
              <w:t xml:space="preserve"> Stop loss (SL)</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8</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E</w:t>
            </w:r>
            <w:r w:rsidR="00621C41" w:rsidRPr="001E51B1">
              <w:rPr>
                <w:rFonts w:ascii="Times New Roman" w:eastAsia="Times New Roman" w:hAnsi="Times New Roman" w:cs="Times New Roman"/>
                <w:color w:val="000000"/>
                <w:sz w:val="20"/>
                <w:szCs w:val="20"/>
                <w:lang w:eastAsia="en-GB"/>
              </w:rPr>
              <w:t xml:space="preserve">xcess of loss (per event and per risk) </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9</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E</w:t>
            </w:r>
            <w:r w:rsidR="00621C41" w:rsidRPr="001E51B1">
              <w:rPr>
                <w:rFonts w:ascii="Times New Roman" w:eastAsia="Times New Roman" w:hAnsi="Times New Roman" w:cs="Times New Roman"/>
                <w:color w:val="000000"/>
                <w:sz w:val="20"/>
                <w:szCs w:val="20"/>
                <w:lang w:eastAsia="en-GB"/>
              </w:rPr>
              <w:t>xcess of loss (per risk)</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10</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E</w:t>
            </w:r>
            <w:r w:rsidR="00621C41" w:rsidRPr="001E51B1">
              <w:rPr>
                <w:rFonts w:ascii="Times New Roman" w:eastAsia="Times New Roman" w:hAnsi="Times New Roman" w:cs="Times New Roman"/>
                <w:color w:val="000000"/>
                <w:sz w:val="20"/>
                <w:szCs w:val="20"/>
                <w:lang w:eastAsia="en-GB"/>
              </w:rPr>
              <w:t xml:space="preserve">xcess of loss (per event) </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11</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E</w:t>
            </w:r>
            <w:r w:rsidR="00621C41" w:rsidRPr="001E51B1">
              <w:rPr>
                <w:rFonts w:ascii="Times New Roman" w:eastAsia="Times New Roman" w:hAnsi="Times New Roman" w:cs="Times New Roman"/>
                <w:color w:val="000000"/>
                <w:sz w:val="20"/>
                <w:szCs w:val="20"/>
                <w:lang w:eastAsia="en-GB"/>
              </w:rPr>
              <w:t xml:space="preserve">xcess of loss “back-up” </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12</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R</w:t>
            </w:r>
            <w:r w:rsidR="00621C41" w:rsidRPr="001E51B1">
              <w:rPr>
                <w:rFonts w:ascii="Times New Roman" w:eastAsia="Times New Roman" w:hAnsi="Times New Roman" w:cs="Times New Roman"/>
                <w:color w:val="000000"/>
                <w:sz w:val="20"/>
                <w:szCs w:val="20"/>
                <w:lang w:eastAsia="en-GB"/>
              </w:rPr>
              <w:t xml:space="preserve">einstatement cover </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13</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A</w:t>
            </w:r>
            <w:r w:rsidR="00621C41" w:rsidRPr="001E51B1">
              <w:rPr>
                <w:rFonts w:ascii="Times New Roman" w:eastAsia="Times New Roman" w:hAnsi="Times New Roman" w:cs="Times New Roman"/>
                <w:color w:val="000000"/>
                <w:sz w:val="20"/>
                <w:szCs w:val="20"/>
                <w:lang w:eastAsia="en-GB"/>
              </w:rPr>
              <w:t xml:space="preserve">ggregate excess of loss </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14</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U</w:t>
            </w:r>
            <w:r w:rsidR="00621C41" w:rsidRPr="001E51B1">
              <w:rPr>
                <w:rFonts w:ascii="Times New Roman" w:eastAsia="Times New Roman" w:hAnsi="Times New Roman" w:cs="Times New Roman"/>
                <w:color w:val="000000"/>
                <w:sz w:val="20"/>
                <w:szCs w:val="20"/>
                <w:lang w:eastAsia="en-GB"/>
              </w:rPr>
              <w:t xml:space="preserve">nlimited excess of loss </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15</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O</w:t>
            </w:r>
            <w:r w:rsidR="00621C41" w:rsidRPr="001E51B1">
              <w:rPr>
                <w:rFonts w:ascii="Times New Roman" w:eastAsia="Times New Roman" w:hAnsi="Times New Roman" w:cs="Times New Roman"/>
                <w:color w:val="000000"/>
                <w:sz w:val="20"/>
                <w:szCs w:val="20"/>
                <w:lang w:eastAsia="en-GB"/>
              </w:rPr>
              <w:t xml:space="preserve">ther proportional treaties </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16</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O</w:t>
            </w:r>
            <w:r w:rsidR="00621C41" w:rsidRPr="001E51B1">
              <w:rPr>
                <w:rFonts w:ascii="Times New Roman" w:eastAsia="Times New Roman" w:hAnsi="Times New Roman" w:cs="Times New Roman"/>
                <w:color w:val="000000"/>
                <w:sz w:val="20"/>
                <w:szCs w:val="20"/>
                <w:lang w:eastAsia="en-GB"/>
              </w:rPr>
              <w:t xml:space="preserve">ther </w:t>
            </w:r>
            <w:proofErr w:type="spellStart"/>
            <w:r w:rsidR="00621C41" w:rsidRPr="001E51B1">
              <w:rPr>
                <w:rFonts w:ascii="Times New Roman" w:eastAsia="Times New Roman" w:hAnsi="Times New Roman" w:cs="Times New Roman"/>
                <w:color w:val="000000"/>
                <w:sz w:val="20"/>
                <w:szCs w:val="20"/>
                <w:lang w:eastAsia="en-GB"/>
              </w:rPr>
              <w:t>non proportional</w:t>
            </w:r>
            <w:proofErr w:type="spellEnd"/>
            <w:r w:rsidR="00621C41" w:rsidRPr="001E51B1">
              <w:rPr>
                <w:rFonts w:ascii="Times New Roman" w:eastAsia="Times New Roman" w:hAnsi="Times New Roman" w:cs="Times New Roman"/>
                <w:color w:val="000000"/>
                <w:sz w:val="20"/>
                <w:szCs w:val="20"/>
                <w:lang w:eastAsia="en-GB"/>
              </w:rPr>
              <w:t xml:space="preserve"> treaties </w:t>
            </w:r>
            <w:r w:rsidR="00621C41" w:rsidRPr="001E51B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17</w:t>
            </w:r>
            <w:r w:rsidR="00621C41" w:rsidRPr="001E51B1">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21C41" w:rsidRPr="001E51B1">
              <w:rPr>
                <w:rFonts w:ascii="Times New Roman" w:eastAsia="Times New Roman" w:hAnsi="Times New Roman" w:cs="Times New Roman"/>
                <w:color w:val="000000"/>
                <w:sz w:val="20"/>
                <w:szCs w:val="20"/>
                <w:lang w:eastAsia="en-GB"/>
              </w:rPr>
              <w:t xml:space="preserve"> Others</w:t>
            </w:r>
            <w:r w:rsidR="00621C41" w:rsidRPr="001E51B1">
              <w:rPr>
                <w:rFonts w:ascii="Times New Roman" w:eastAsia="Times New Roman" w:hAnsi="Times New Roman" w:cs="Times New Roman"/>
                <w:color w:val="000000"/>
                <w:sz w:val="20"/>
                <w:szCs w:val="20"/>
                <w:lang w:eastAsia="en-GB"/>
              </w:rPr>
              <w:br/>
            </w:r>
          </w:p>
        </w:tc>
      </w:tr>
      <w:tr w:rsidR="00621C41" w:rsidRPr="002A38BE" w:rsidTr="00055BEA">
        <w:trPr>
          <w:trHeight w:val="274"/>
        </w:trPr>
        <w:tc>
          <w:tcPr>
            <w:tcW w:w="1057" w:type="dxa"/>
            <w:tcBorders>
              <w:top w:val="single" w:sz="4" w:space="0" w:color="auto"/>
              <w:left w:val="single" w:sz="4" w:space="0" w:color="auto"/>
              <w:bottom w:val="nil"/>
              <w:right w:val="single" w:sz="4" w:space="0" w:color="auto"/>
            </w:tcBorders>
            <w:shd w:val="clear" w:color="auto" w:fill="auto"/>
            <w:hideMark/>
          </w:tcPr>
          <w:p w:rsidR="00621C41" w:rsidRPr="001E51B1"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For quota share or a surplus treaty, 100% of the maximum amount that has been set for the entire contract/treaty is stated here (e.g. £10million).  In case of unlimited cover </w:t>
            </w:r>
            <w:r w:rsidR="00DC4E0A">
              <w:rPr>
                <w:rFonts w:ascii="Times New Roman" w:eastAsia="Times New Roman" w:hAnsi="Times New Roman" w:cs="Times New Roman"/>
                <w:color w:val="000000"/>
                <w:sz w:val="20"/>
                <w:szCs w:val="20"/>
                <w:lang w:eastAsia="en-GB"/>
              </w:rPr>
              <w:t>“-1”</w:t>
            </w:r>
            <w:r w:rsidR="00DC4E0A" w:rsidRPr="001E51B1">
              <w:rPr>
                <w:rFonts w:ascii="Times New Roman" w:eastAsia="Times New Roman" w:hAnsi="Times New Roman" w:cs="Times New Roman"/>
                <w:color w:val="000000"/>
                <w:sz w:val="20"/>
                <w:szCs w:val="20"/>
                <w:lang w:eastAsia="en-GB"/>
              </w:rPr>
              <w:t xml:space="preserve"> </w:t>
            </w:r>
            <w:r w:rsidRPr="001E51B1">
              <w:rPr>
                <w:rFonts w:ascii="Times New Roman" w:eastAsia="Times New Roman" w:hAnsi="Times New Roman" w:cs="Times New Roman"/>
                <w:color w:val="000000"/>
                <w:sz w:val="20"/>
                <w:szCs w:val="20"/>
                <w:lang w:eastAsia="en-GB"/>
              </w:rPr>
              <w:t xml:space="preserve">must be filled in here.  For XL or SL treaties enter the initial capacity. </w:t>
            </w:r>
            <w:r w:rsidRPr="001E51B1">
              <w:rPr>
                <w:rFonts w:ascii="Times New Roman" w:eastAsia="Times New Roman" w:hAnsi="Times New Roman" w:cs="Times New Roman"/>
                <w:color w:val="000000"/>
                <w:sz w:val="20"/>
                <w:szCs w:val="20"/>
                <w:lang w:eastAsia="en-GB"/>
              </w:rPr>
              <w:br/>
              <w:t xml:space="preserve">This item has to be reported in the currency of the </w:t>
            </w:r>
            <w:r w:rsidR="00352929" w:rsidRPr="001E51B1">
              <w:rPr>
                <w:rFonts w:ascii="Times New Roman" w:eastAsia="Times New Roman" w:hAnsi="Times New Roman" w:cs="Times New Roman"/>
                <w:color w:val="000000"/>
                <w:sz w:val="20"/>
                <w:szCs w:val="20"/>
                <w:lang w:eastAsia="en-GB"/>
              </w:rPr>
              <w:t>transaction</w:t>
            </w:r>
            <w:r w:rsidRPr="001E51B1">
              <w:rPr>
                <w:rFonts w:ascii="Times New Roman" w:eastAsia="Times New Roman" w:hAnsi="Times New Roman" w:cs="Times New Roman"/>
                <w:color w:val="000000"/>
                <w:sz w:val="20"/>
                <w:szCs w:val="20"/>
                <w:lang w:eastAsia="en-GB"/>
              </w:rPr>
              <w:t xml:space="preserve">. </w:t>
            </w:r>
          </w:p>
          <w:p w:rsidR="00EA20C9" w:rsidRPr="001E51B1" w:rsidRDefault="00EA20C9"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1E51B1">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1E51B1">
        <w:trPr>
          <w:trHeight w:val="1866"/>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5975CC" w:rsidP="00621C41">
            <w:pPr>
              <w:spacing w:after="0" w:line="240" w:lineRule="auto"/>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color w:val="000000" w:themeColor="text1"/>
                <w:sz w:val="20"/>
                <w:szCs w:val="20"/>
                <w:lang w:eastAsia="en-GB"/>
              </w:rPr>
              <w:t>C01</w:t>
            </w:r>
            <w:r w:rsidR="00DC4E0A">
              <w:rPr>
                <w:rFonts w:ascii="Times New Roman" w:eastAsia="Times New Roman" w:hAnsi="Times New Roman" w:cs="Times New Roman"/>
                <w:color w:val="000000" w:themeColor="text1"/>
                <w:sz w:val="20"/>
                <w:szCs w:val="20"/>
                <w:lang w:eastAsia="en-GB"/>
              </w:rPr>
              <w:t>3</w:t>
            </w:r>
            <w:r>
              <w:rPr>
                <w:rFonts w:ascii="Times New Roman" w:eastAsia="Times New Roman" w:hAnsi="Times New Roman" w:cs="Times New Roman"/>
                <w:color w:val="000000" w:themeColor="text1"/>
                <w:sz w:val="20"/>
                <w:szCs w:val="20"/>
                <w:lang w:eastAsia="en-GB"/>
              </w:rPr>
              <w:t>0 (</w:t>
            </w:r>
            <w:r w:rsidR="00621C41" w:rsidRPr="001E51B1">
              <w:rPr>
                <w:rFonts w:ascii="Times New Roman" w:eastAsia="Times New Roman" w:hAnsi="Times New Roman" w:cs="Times New Roman"/>
                <w:color w:val="000000" w:themeColor="text1"/>
                <w:sz w:val="20"/>
                <w:szCs w:val="20"/>
                <w:lang w:eastAsia="en-GB"/>
              </w:rPr>
              <w:t>K6</w:t>
            </w:r>
            <w:r>
              <w:rPr>
                <w:rFonts w:ascii="Times New Roman" w:eastAsia="Times New Roman" w:hAnsi="Times New Roman" w:cs="Times New Roman"/>
                <w:color w:val="000000" w:themeColor="text1"/>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themeColor="text1"/>
                <w:sz w:val="20"/>
                <w:szCs w:val="20"/>
                <w:lang w:eastAsia="en-GB"/>
              </w:rPr>
            </w:pPr>
            <w:r w:rsidRPr="001E51B1">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312CEC">
            <w:pPr>
              <w:spacing w:after="0" w:line="240" w:lineRule="auto"/>
              <w:rPr>
                <w:rFonts w:ascii="Times New Roman" w:eastAsia="Times New Roman" w:hAnsi="Times New Roman" w:cs="Times New Roman"/>
                <w:color w:val="000000" w:themeColor="text1"/>
                <w:sz w:val="20"/>
                <w:szCs w:val="20"/>
                <w:lang w:eastAsia="en-GB"/>
              </w:rPr>
            </w:pPr>
            <w:r w:rsidRPr="001E51B1">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r w:rsidRPr="001E51B1">
              <w:rPr>
                <w:rFonts w:ascii="Times New Roman" w:eastAsia="Times New Roman" w:hAnsi="Times New Roman" w:cs="Times New Roman"/>
                <w:color w:val="000000" w:themeColor="text1"/>
                <w:sz w:val="20"/>
                <w:szCs w:val="20"/>
                <w:lang w:eastAsia="en-GB"/>
              </w:rPr>
              <w:br/>
            </w:r>
            <w:r w:rsidRPr="001E51B1">
              <w:rPr>
                <w:rFonts w:ascii="Times New Roman" w:eastAsia="Times New Roman" w:hAnsi="Times New Roman" w:cs="Times New Roman"/>
                <w:color w:val="000000" w:themeColor="text1"/>
                <w:sz w:val="20"/>
                <w:szCs w:val="20"/>
                <w:lang w:eastAsia="en-GB"/>
              </w:rPr>
              <w:br/>
              <w:t xml:space="preserve">This item has to be reported in the currency of the group. </w:t>
            </w:r>
          </w:p>
        </w:tc>
      </w:tr>
      <w:tr w:rsidR="00621C41" w:rsidRPr="002A38BE" w:rsidTr="001E51B1">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621C41" w:rsidP="00DD516A">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195024"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Total amount due from the reinsurer at the reporting </w:t>
            </w:r>
            <w:r w:rsidR="00195024" w:rsidRPr="001E51B1">
              <w:rPr>
                <w:rFonts w:ascii="Times New Roman" w:eastAsia="Times New Roman" w:hAnsi="Times New Roman" w:cs="Times New Roman"/>
                <w:color w:val="000000"/>
                <w:sz w:val="20"/>
                <w:szCs w:val="20"/>
                <w:lang w:eastAsia="en-GB"/>
              </w:rPr>
              <w:t xml:space="preserve">date </w:t>
            </w:r>
            <w:r w:rsidRPr="001E51B1">
              <w:rPr>
                <w:rFonts w:ascii="Times New Roman" w:eastAsia="Times New Roman" w:hAnsi="Times New Roman" w:cs="Times New Roman"/>
                <w:color w:val="000000"/>
                <w:sz w:val="20"/>
                <w:szCs w:val="20"/>
                <w:lang w:eastAsia="en-GB"/>
              </w:rPr>
              <w:t xml:space="preserve">which include:  </w:t>
            </w:r>
            <w:r w:rsidRPr="001E51B1">
              <w:rPr>
                <w:rFonts w:ascii="Times New Roman" w:eastAsia="Times New Roman" w:hAnsi="Times New Roman" w:cs="Times New Roman"/>
                <w:color w:val="000000"/>
                <w:sz w:val="20"/>
                <w:szCs w:val="20"/>
                <w:lang w:eastAsia="en-GB"/>
              </w:rPr>
              <w:br/>
              <w:t>- Premium provision for part of the future reinsurance premium which has already been paid to the reinsurer</w:t>
            </w:r>
            <w:proofErr w:type="gramStart"/>
            <w:r w:rsidRPr="001E51B1">
              <w:rPr>
                <w:rFonts w:ascii="Times New Roman" w:eastAsia="Times New Roman" w:hAnsi="Times New Roman" w:cs="Times New Roman"/>
                <w:color w:val="000000"/>
                <w:sz w:val="20"/>
                <w:szCs w:val="20"/>
                <w:lang w:eastAsia="en-GB"/>
              </w:rPr>
              <w:t>;</w:t>
            </w:r>
            <w:proofErr w:type="gramEnd"/>
            <w:r w:rsidRPr="001E51B1">
              <w:rPr>
                <w:rFonts w:ascii="Times New Roman" w:eastAsia="Times New Roman" w:hAnsi="Times New Roman" w:cs="Times New Roman"/>
                <w:color w:val="000000"/>
                <w:sz w:val="20"/>
                <w:szCs w:val="20"/>
                <w:lang w:eastAsia="en-GB"/>
              </w:rPr>
              <w:br/>
              <w:t xml:space="preserve">- Claims provision for claims outstanding for insurer which have to be paid by the reinsurer; and/or </w:t>
            </w:r>
            <w:r w:rsidRPr="001E51B1">
              <w:rPr>
                <w:rFonts w:ascii="Times New Roman" w:eastAsia="Times New Roman" w:hAnsi="Times New Roman" w:cs="Times New Roman"/>
                <w:color w:val="000000"/>
                <w:sz w:val="20"/>
                <w:szCs w:val="20"/>
                <w:lang w:eastAsia="en-GB"/>
              </w:rPr>
              <w:br/>
              <w:t>- Technical provisions for the amount reflecting the share of the reinsurer in the gross technical provisions.</w:t>
            </w:r>
            <w:r w:rsidRPr="001E51B1">
              <w:rPr>
                <w:rFonts w:ascii="Times New Roman" w:eastAsia="Times New Roman" w:hAnsi="Times New Roman" w:cs="Times New Roman"/>
                <w:color w:val="000000"/>
                <w:sz w:val="20"/>
                <w:szCs w:val="20"/>
                <w:lang w:eastAsia="en-GB"/>
              </w:rPr>
              <w:br/>
            </w:r>
          </w:p>
          <w:p w:rsidR="00DD516A"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This item has to be reported in the currency of the group. </w:t>
            </w:r>
          </w:p>
          <w:p w:rsidR="00621C41" w:rsidRPr="001E51B1" w:rsidRDefault="00DD516A">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1E51B1">
              <w:rPr>
                <w:rFonts w:ascii="Times New Roman" w:eastAsia="Times New Roman" w:hAnsi="Times New Roman" w:cs="Times New Roman"/>
                <w:color w:val="000000"/>
                <w:sz w:val="20"/>
                <w:szCs w:val="20"/>
                <w:lang w:eastAsia="en-GB"/>
              </w:rPr>
              <w:t xml:space="preserve"> be the same as reported in S.3</w:t>
            </w:r>
            <w:r w:rsidR="001134C2">
              <w:rPr>
                <w:rFonts w:ascii="Times New Roman" w:eastAsia="Times New Roman" w:hAnsi="Times New Roman" w:cs="Times New Roman"/>
                <w:color w:val="000000"/>
                <w:sz w:val="20"/>
                <w:szCs w:val="20"/>
                <w:lang w:eastAsia="en-GB"/>
              </w:rPr>
              <w:t>1</w:t>
            </w:r>
            <w:r w:rsidRPr="001E51B1">
              <w:rPr>
                <w:rFonts w:ascii="Times New Roman" w:eastAsia="Times New Roman" w:hAnsi="Times New Roman" w:cs="Times New Roman"/>
                <w:color w:val="000000"/>
                <w:sz w:val="20"/>
                <w:szCs w:val="20"/>
                <w:lang w:eastAsia="en-GB"/>
              </w:rPr>
              <w:t>.0</w:t>
            </w:r>
            <w:r w:rsidR="001134C2">
              <w:rPr>
                <w:rFonts w:ascii="Times New Roman" w:eastAsia="Times New Roman" w:hAnsi="Times New Roman" w:cs="Times New Roman"/>
                <w:color w:val="000000"/>
                <w:sz w:val="20"/>
                <w:szCs w:val="20"/>
                <w:lang w:eastAsia="en-GB"/>
              </w:rPr>
              <w:t>1</w:t>
            </w:r>
            <w:r w:rsidRPr="001E51B1">
              <w:rPr>
                <w:rFonts w:ascii="Times New Roman" w:eastAsia="Times New Roman" w:hAnsi="Times New Roman" w:cs="Times New Roman"/>
                <w:color w:val="000000"/>
                <w:sz w:val="20"/>
                <w:szCs w:val="20"/>
                <w:lang w:eastAsia="en-GB"/>
              </w:rPr>
              <w:t>.</w:t>
            </w:r>
          </w:p>
        </w:tc>
      </w:tr>
      <w:tr w:rsidR="00621C41" w:rsidRPr="002A38BE" w:rsidTr="001E51B1">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1E51B1" w:rsidRDefault="005975C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21C41" w:rsidRPr="001E51B1">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1E51B1" w:rsidRDefault="00621C41" w:rsidP="00621C41">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
          <w:p w:rsidR="005975CC" w:rsidRDefault="00195024" w:rsidP="005975CC">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Reinsurance result for the reinsurer identified in </w:t>
            </w:r>
            <w:r w:rsidR="005975CC">
              <w:rPr>
                <w:rFonts w:ascii="Times New Roman" w:eastAsia="Times New Roman" w:hAnsi="Times New Roman" w:cs="Times New Roman"/>
                <w:color w:val="000000"/>
                <w:sz w:val="20"/>
                <w:szCs w:val="20"/>
                <w:lang w:eastAsia="en-GB"/>
              </w:rPr>
              <w:t>C0040</w:t>
            </w:r>
            <w:r w:rsidRPr="001E51B1">
              <w:rPr>
                <w:rFonts w:ascii="Times New Roman" w:eastAsia="Times New Roman" w:hAnsi="Times New Roman" w:cs="Times New Roman"/>
                <w:color w:val="000000"/>
                <w:sz w:val="20"/>
                <w:szCs w:val="20"/>
                <w:lang w:eastAsia="en-GB"/>
              </w:rPr>
              <w:t xml:space="preserve">. The calculation </w:t>
            </w:r>
            <w:r w:rsidR="00B23A54">
              <w:rPr>
                <w:rFonts w:ascii="Times New Roman" w:eastAsia="Times New Roman" w:hAnsi="Times New Roman" w:cs="Times New Roman"/>
                <w:color w:val="000000"/>
                <w:sz w:val="20"/>
                <w:szCs w:val="20"/>
                <w:lang w:eastAsia="en-GB"/>
              </w:rPr>
              <w:t>shall</w:t>
            </w:r>
            <w:r w:rsidRPr="001E51B1">
              <w:rPr>
                <w:rFonts w:ascii="Times New Roman" w:eastAsia="Times New Roman" w:hAnsi="Times New Roman" w:cs="Times New Roman"/>
                <w:color w:val="000000"/>
                <w:sz w:val="20"/>
                <w:szCs w:val="20"/>
                <w:lang w:eastAsia="en-GB"/>
              </w:rPr>
              <w:t xml:space="preserve"> be as follows: </w:t>
            </w:r>
            <w:r w:rsidR="00621C41" w:rsidRPr="001E51B1">
              <w:rPr>
                <w:rFonts w:ascii="Times New Roman" w:eastAsia="Times New Roman" w:hAnsi="Times New Roman" w:cs="Times New Roman"/>
                <w:color w:val="000000"/>
                <w:sz w:val="20"/>
                <w:szCs w:val="20"/>
                <w:lang w:eastAsia="en-GB"/>
              </w:rPr>
              <w:br/>
              <w:t xml:space="preserve">Total reinsurance commissions received by reinsured entity </w:t>
            </w:r>
            <w:r w:rsidR="00621C41" w:rsidRPr="001E51B1">
              <w:rPr>
                <w:rFonts w:ascii="Times New Roman" w:eastAsia="Times New Roman" w:hAnsi="Times New Roman" w:cs="Times New Roman"/>
                <w:color w:val="000000"/>
                <w:sz w:val="20"/>
                <w:szCs w:val="20"/>
                <w:lang w:eastAsia="en-GB"/>
              </w:rPr>
              <w:br/>
              <w:t>less</w:t>
            </w:r>
            <w:r w:rsidR="00621C41" w:rsidRPr="001E51B1">
              <w:rPr>
                <w:rFonts w:ascii="Times New Roman" w:eastAsia="Times New Roman" w:hAnsi="Times New Roman" w:cs="Times New Roman"/>
                <w:color w:val="000000"/>
                <w:sz w:val="20"/>
                <w:szCs w:val="20"/>
                <w:lang w:eastAsia="en-GB"/>
              </w:rPr>
              <w:br/>
              <w:t xml:space="preserve">Gross reinsurance premiums paid by reinsured entity </w:t>
            </w:r>
            <w:r w:rsidR="00621C41" w:rsidRPr="001E51B1">
              <w:rPr>
                <w:rFonts w:ascii="Times New Roman" w:eastAsia="Times New Roman" w:hAnsi="Times New Roman" w:cs="Times New Roman"/>
                <w:color w:val="000000"/>
                <w:sz w:val="20"/>
                <w:szCs w:val="20"/>
                <w:lang w:eastAsia="en-GB"/>
              </w:rPr>
              <w:br/>
              <w:t xml:space="preserve">plus </w:t>
            </w:r>
            <w:r w:rsidR="00621C41" w:rsidRPr="001E51B1">
              <w:rPr>
                <w:rFonts w:ascii="Times New Roman" w:eastAsia="Times New Roman" w:hAnsi="Times New Roman" w:cs="Times New Roman"/>
                <w:color w:val="000000"/>
                <w:sz w:val="20"/>
                <w:szCs w:val="20"/>
                <w:lang w:eastAsia="en-GB"/>
              </w:rPr>
              <w:br/>
              <w:t>Claims paid by reinsurer during the reporting period</w:t>
            </w:r>
            <w:r w:rsidR="00621C41" w:rsidRPr="001E51B1">
              <w:rPr>
                <w:rFonts w:ascii="Times New Roman" w:eastAsia="Times New Roman" w:hAnsi="Times New Roman" w:cs="Times New Roman"/>
                <w:color w:val="000000"/>
                <w:sz w:val="20"/>
                <w:szCs w:val="20"/>
                <w:lang w:eastAsia="en-GB"/>
              </w:rPr>
              <w:br/>
              <w:t>plus</w:t>
            </w:r>
            <w:r w:rsidR="00621C41" w:rsidRPr="001E51B1">
              <w:rPr>
                <w:rFonts w:ascii="Times New Roman" w:eastAsia="Times New Roman" w:hAnsi="Times New Roman" w:cs="Times New Roman"/>
                <w:color w:val="000000"/>
                <w:sz w:val="20"/>
                <w:szCs w:val="20"/>
                <w:lang w:eastAsia="en-GB"/>
              </w:rPr>
              <w:br/>
              <w:t xml:space="preserve">Total reinsurance recoverables at the end of the reporting period </w:t>
            </w:r>
            <w:r w:rsidR="00621C41" w:rsidRPr="001E51B1">
              <w:rPr>
                <w:rFonts w:ascii="Times New Roman" w:eastAsia="Times New Roman" w:hAnsi="Times New Roman" w:cs="Times New Roman"/>
                <w:color w:val="000000"/>
                <w:sz w:val="20"/>
                <w:szCs w:val="20"/>
                <w:lang w:eastAsia="en-GB"/>
              </w:rPr>
              <w:br/>
              <w:t>less</w:t>
            </w:r>
            <w:r w:rsidR="00621C41" w:rsidRPr="001E51B1">
              <w:rPr>
                <w:rFonts w:ascii="Times New Roman" w:eastAsia="Times New Roman" w:hAnsi="Times New Roman" w:cs="Times New Roman"/>
                <w:color w:val="000000"/>
                <w:sz w:val="20"/>
                <w:szCs w:val="20"/>
                <w:lang w:eastAsia="en-GB"/>
              </w:rPr>
              <w:br/>
              <w:t>Total reinsurance recoverables at the start of the reporting period</w:t>
            </w:r>
            <w:r w:rsidR="006D461E">
              <w:rPr>
                <w:rFonts w:ascii="Times New Roman" w:eastAsia="Times New Roman" w:hAnsi="Times New Roman" w:cs="Times New Roman"/>
                <w:color w:val="000000"/>
                <w:sz w:val="20"/>
                <w:szCs w:val="20"/>
                <w:lang w:eastAsia="en-GB"/>
              </w:rPr>
              <w:t>.</w:t>
            </w:r>
          </w:p>
          <w:p w:rsidR="00621C41" w:rsidRPr="001E51B1" w:rsidRDefault="00621C41" w:rsidP="005975CC">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 xml:space="preserve"> </w:t>
            </w:r>
            <w:r w:rsidRPr="001E51B1">
              <w:rPr>
                <w:rFonts w:ascii="Times New Roman" w:eastAsia="Times New Roman" w:hAnsi="Times New Roman" w:cs="Times New Roman"/>
                <w:color w:val="000000"/>
                <w:sz w:val="20"/>
                <w:szCs w:val="20"/>
                <w:lang w:eastAsia="en-GB"/>
              </w:rPr>
              <w:br/>
              <w:t xml:space="preserve">This item has to be reported in the currency of the group. </w:t>
            </w:r>
          </w:p>
        </w:tc>
      </w:tr>
      <w:tr w:rsidR="00B04B07" w:rsidRPr="002A38BE" w:rsidTr="00055BE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B04B07" w:rsidRPr="001E51B1" w:rsidRDefault="005975CC" w:rsidP="00621C4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238" w:type="dxa"/>
            <w:tcBorders>
              <w:top w:val="single" w:sz="4" w:space="0" w:color="auto"/>
              <w:left w:val="nil"/>
              <w:bottom w:val="single" w:sz="4" w:space="0" w:color="auto"/>
              <w:right w:val="single" w:sz="4" w:space="0" w:color="auto"/>
            </w:tcBorders>
            <w:shd w:val="clear" w:color="auto" w:fill="auto"/>
          </w:tcPr>
          <w:p w:rsidR="00B04B07" w:rsidRPr="001E51B1" w:rsidRDefault="00457F90">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rsidR="00457F90" w:rsidRPr="001E51B1" w:rsidRDefault="00457F90" w:rsidP="00457F90">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Identify the line of business being reinsured</w:t>
            </w:r>
            <w:r w:rsidR="00DC4E0A">
              <w:rPr>
                <w:rFonts w:ascii="Times New Roman" w:eastAsia="Times New Roman" w:hAnsi="Times New Roman" w:cs="Times New Roman"/>
                <w:color w:val="000000"/>
                <w:sz w:val="20"/>
                <w:szCs w:val="20"/>
                <w:lang w:eastAsia="en-GB"/>
              </w:rPr>
              <w:t xml:space="preserve">. The following </w:t>
            </w:r>
            <w:r w:rsidRPr="001E51B1">
              <w:rPr>
                <w:rFonts w:ascii="Times New Roman" w:eastAsia="Times New Roman" w:hAnsi="Times New Roman" w:cs="Times New Roman"/>
                <w:color w:val="000000"/>
                <w:sz w:val="20"/>
                <w:szCs w:val="20"/>
                <w:lang w:eastAsia="en-GB"/>
              </w:rPr>
              <w:t>close list</w:t>
            </w:r>
            <w:r w:rsidR="00DC4E0A">
              <w:rPr>
                <w:rFonts w:ascii="Times New Roman" w:eastAsia="Times New Roman" w:hAnsi="Times New Roman" w:cs="Times New Roman"/>
                <w:color w:val="000000"/>
                <w:sz w:val="20"/>
                <w:szCs w:val="20"/>
                <w:lang w:eastAsia="en-GB"/>
              </w:rPr>
              <w:t xml:space="preserve"> shall be used:</w:t>
            </w:r>
            <w:r w:rsidR="00312CEC" w:rsidRPr="001E51B1">
              <w:rPr>
                <w:rFonts w:ascii="Times New Roman" w:eastAsia="Times New Roman" w:hAnsi="Times New Roman" w:cs="Times New Roman"/>
                <w:color w:val="000000"/>
                <w:sz w:val="20"/>
                <w:szCs w:val="20"/>
                <w:lang w:eastAsia="en-GB"/>
              </w:rPr>
              <w:t xml:space="preserve"> </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Medical expense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Income protection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Workers' compensation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Motor vehicle liability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Other motor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Marine, aviation and transport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Fire and other damage to property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General liability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 xml:space="preserve">Credit and </w:t>
            </w:r>
            <w:proofErr w:type="spellStart"/>
            <w:r w:rsidRPr="001E51B1">
              <w:rPr>
                <w:rFonts w:ascii="Times New Roman" w:eastAsia="Times New Roman" w:hAnsi="Times New Roman" w:cs="Times New Roman"/>
                <w:sz w:val="20"/>
                <w:szCs w:val="20"/>
                <w:lang w:eastAsia="en-GB"/>
              </w:rPr>
              <w:t>suretyship</w:t>
            </w:r>
            <w:proofErr w:type="spellEnd"/>
            <w:r w:rsidRPr="001E51B1">
              <w:rPr>
                <w:rFonts w:ascii="Times New Roman" w:eastAsia="Times New Roman" w:hAnsi="Times New Roman" w:cs="Times New Roman"/>
                <w:sz w:val="20"/>
                <w:szCs w:val="20"/>
                <w:lang w:eastAsia="en-GB"/>
              </w:rPr>
              <w:t xml:space="preserve">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Legal  expenses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Assistance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Miscellaneous financial loss</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Health</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 xml:space="preserve">Property </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Casualty</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Marine, aviation, transport</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Insurance with profit participation</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Index-linked and unit-linked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Other life 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Annuities stemming from non-life insurance contracts and relating to health insurance obligations</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Annuities stemming from non-life insurance contracts and relating to insurance obligations other than health insurance obligations</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Life reinsurance</w:t>
            </w:r>
          </w:p>
          <w:p w:rsidR="00312CEC"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Health insurance</w:t>
            </w:r>
          </w:p>
          <w:p w:rsidR="00457F90" w:rsidRPr="001E51B1" w:rsidRDefault="00312CEC" w:rsidP="001E51B1">
            <w:pPr>
              <w:pStyle w:val="ListParagraph"/>
              <w:numPr>
                <w:ilvl w:val="0"/>
                <w:numId w:val="6"/>
              </w:numPr>
              <w:spacing w:after="0" w:line="240" w:lineRule="auto"/>
              <w:ind w:left="435" w:hanging="426"/>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sz w:val="20"/>
                <w:szCs w:val="20"/>
                <w:lang w:eastAsia="en-GB"/>
              </w:rPr>
              <w:t>Health reinsurance</w:t>
            </w:r>
          </w:p>
          <w:p w:rsidR="00D06733" w:rsidRPr="001E51B1" w:rsidRDefault="00D06733" w:rsidP="001E51B1">
            <w:pPr>
              <w:spacing w:after="0" w:line="240" w:lineRule="auto"/>
              <w:ind w:left="435" w:hanging="426"/>
              <w:rPr>
                <w:rFonts w:ascii="Times New Roman" w:eastAsia="Times New Roman" w:hAnsi="Times New Roman" w:cs="Times New Roman"/>
                <w:color w:val="000000"/>
                <w:sz w:val="20"/>
                <w:szCs w:val="20"/>
                <w:lang w:eastAsia="en-GB"/>
              </w:rPr>
            </w:pPr>
          </w:p>
          <w:p w:rsidR="00312CEC" w:rsidRPr="001E51B1" w:rsidRDefault="00312CEC">
            <w:pPr>
              <w:spacing w:after="0" w:line="240" w:lineRule="auto"/>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color w:val="000000"/>
                <w:sz w:val="20"/>
                <w:szCs w:val="20"/>
                <w:lang w:eastAsia="en-GB"/>
              </w:rPr>
              <w:t>If a reinsurance arrangement covers more than one line of business, then select the most significant line of business from the list above.</w:t>
            </w:r>
          </w:p>
        </w:tc>
      </w:tr>
    </w:tbl>
    <w:p w:rsidR="00BB7862" w:rsidRPr="001E51B1" w:rsidRDefault="00BB7862">
      <w:pPr>
        <w:rPr>
          <w:rFonts w:ascii="Times New Roman" w:hAnsi="Times New Roman" w:cs="Times New Roman"/>
          <w:sz w:val="20"/>
          <w:szCs w:val="20"/>
        </w:rPr>
      </w:pPr>
    </w:p>
    <w:p w:rsidR="00312CEC" w:rsidRPr="001E51B1" w:rsidRDefault="00312CEC">
      <w:pPr>
        <w:rPr>
          <w:rFonts w:ascii="Times New Roman" w:hAnsi="Times New Roman" w:cs="Times New Roman"/>
          <w:sz w:val="20"/>
          <w:szCs w:val="20"/>
        </w:rPr>
      </w:pPr>
    </w:p>
    <w:sectPr w:rsidR="00312CEC" w:rsidRPr="001E51B1" w:rsidSect="00621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start w:val="1"/>
      <w:numFmt w:val="bullet"/>
      <w:lvlText w:val="o"/>
      <w:lvlJc w:val="left"/>
      <w:pPr>
        <w:ind w:left="1486" w:hanging="360"/>
      </w:pPr>
      <w:rPr>
        <w:rFonts w:ascii="Courier New" w:hAnsi="Courier New" w:cs="Courier New" w:hint="default"/>
      </w:rPr>
    </w:lvl>
    <w:lvl w:ilvl="2" w:tplc="08090005">
      <w:start w:val="1"/>
      <w:numFmt w:val="bullet"/>
      <w:lvlText w:val=""/>
      <w:lvlJc w:val="left"/>
      <w:pPr>
        <w:ind w:left="2206" w:hanging="360"/>
      </w:pPr>
      <w:rPr>
        <w:rFonts w:ascii="Wingdings" w:hAnsi="Wingdings" w:hint="default"/>
      </w:rPr>
    </w:lvl>
    <w:lvl w:ilvl="3" w:tplc="08090001">
      <w:start w:val="1"/>
      <w:numFmt w:val="bullet"/>
      <w:lvlText w:val=""/>
      <w:lvlJc w:val="left"/>
      <w:pPr>
        <w:ind w:left="2926" w:hanging="360"/>
      </w:pPr>
      <w:rPr>
        <w:rFonts w:ascii="Symbol" w:hAnsi="Symbol" w:hint="default"/>
      </w:rPr>
    </w:lvl>
    <w:lvl w:ilvl="4" w:tplc="08090003">
      <w:start w:val="1"/>
      <w:numFmt w:val="bullet"/>
      <w:lvlText w:val="o"/>
      <w:lvlJc w:val="left"/>
      <w:pPr>
        <w:ind w:left="3646" w:hanging="360"/>
      </w:pPr>
      <w:rPr>
        <w:rFonts w:ascii="Courier New" w:hAnsi="Courier New" w:cs="Courier New" w:hint="default"/>
      </w:rPr>
    </w:lvl>
    <w:lvl w:ilvl="5" w:tplc="08090005">
      <w:start w:val="1"/>
      <w:numFmt w:val="bullet"/>
      <w:lvlText w:val=""/>
      <w:lvlJc w:val="left"/>
      <w:pPr>
        <w:ind w:left="4366" w:hanging="360"/>
      </w:pPr>
      <w:rPr>
        <w:rFonts w:ascii="Wingdings" w:hAnsi="Wingdings" w:hint="default"/>
      </w:rPr>
    </w:lvl>
    <w:lvl w:ilvl="6" w:tplc="08090001">
      <w:start w:val="1"/>
      <w:numFmt w:val="bullet"/>
      <w:lvlText w:val=""/>
      <w:lvlJc w:val="left"/>
      <w:pPr>
        <w:ind w:left="5086" w:hanging="360"/>
      </w:pPr>
      <w:rPr>
        <w:rFonts w:ascii="Symbol" w:hAnsi="Symbol" w:hint="default"/>
      </w:rPr>
    </w:lvl>
    <w:lvl w:ilvl="7" w:tplc="08090003">
      <w:start w:val="1"/>
      <w:numFmt w:val="bullet"/>
      <w:lvlText w:val="o"/>
      <w:lvlJc w:val="left"/>
      <w:pPr>
        <w:ind w:left="5806" w:hanging="360"/>
      </w:pPr>
      <w:rPr>
        <w:rFonts w:ascii="Courier New" w:hAnsi="Courier New" w:cs="Courier New" w:hint="default"/>
      </w:rPr>
    </w:lvl>
    <w:lvl w:ilvl="8" w:tplc="08090005">
      <w:start w:val="1"/>
      <w:numFmt w:val="bullet"/>
      <w:lvlText w:val=""/>
      <w:lvlJc w:val="left"/>
      <w:pPr>
        <w:ind w:left="6526" w:hanging="360"/>
      </w:pPr>
      <w:rPr>
        <w:rFonts w:ascii="Wingdings" w:hAnsi="Wingdings" w:hint="default"/>
      </w:rPr>
    </w:lvl>
  </w:abstractNum>
  <w:abstractNum w:abstractNumId="2">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start w:val="1"/>
      <w:numFmt w:val="bullet"/>
      <w:lvlText w:val=""/>
      <w:lvlJc w:val="left"/>
      <w:pPr>
        <w:tabs>
          <w:tab w:val="num" w:pos="1526"/>
        </w:tabs>
        <w:ind w:left="1526" w:hanging="360"/>
      </w:pPr>
      <w:rPr>
        <w:rFonts w:ascii="Wingdings" w:hAnsi="Wingdings" w:hint="default"/>
      </w:rPr>
    </w:lvl>
    <w:lvl w:ilvl="3" w:tplc="08090001">
      <w:start w:val="1"/>
      <w:numFmt w:val="bullet"/>
      <w:lvlText w:val=""/>
      <w:lvlJc w:val="left"/>
      <w:pPr>
        <w:tabs>
          <w:tab w:val="num" w:pos="2246"/>
        </w:tabs>
        <w:ind w:left="2246" w:hanging="360"/>
      </w:pPr>
      <w:rPr>
        <w:rFonts w:ascii="Symbol" w:hAnsi="Symbol" w:hint="default"/>
      </w:rPr>
    </w:lvl>
    <w:lvl w:ilvl="4" w:tplc="08090003">
      <w:start w:val="1"/>
      <w:numFmt w:val="bullet"/>
      <w:lvlText w:val="o"/>
      <w:lvlJc w:val="left"/>
      <w:pPr>
        <w:tabs>
          <w:tab w:val="num" w:pos="2966"/>
        </w:tabs>
        <w:ind w:left="2966" w:hanging="360"/>
      </w:pPr>
      <w:rPr>
        <w:rFonts w:ascii="Courier New" w:hAnsi="Courier New" w:cs="Courier New" w:hint="default"/>
      </w:rPr>
    </w:lvl>
    <w:lvl w:ilvl="5" w:tplc="08090005">
      <w:start w:val="1"/>
      <w:numFmt w:val="bullet"/>
      <w:lvlText w:val=""/>
      <w:lvlJc w:val="left"/>
      <w:pPr>
        <w:tabs>
          <w:tab w:val="num" w:pos="3686"/>
        </w:tabs>
        <w:ind w:left="3686" w:hanging="360"/>
      </w:pPr>
      <w:rPr>
        <w:rFonts w:ascii="Wingdings" w:hAnsi="Wingdings" w:hint="default"/>
      </w:rPr>
    </w:lvl>
    <w:lvl w:ilvl="6" w:tplc="08090001">
      <w:start w:val="1"/>
      <w:numFmt w:val="bullet"/>
      <w:lvlText w:val=""/>
      <w:lvlJc w:val="left"/>
      <w:pPr>
        <w:tabs>
          <w:tab w:val="num" w:pos="4406"/>
        </w:tabs>
        <w:ind w:left="4406" w:hanging="360"/>
      </w:pPr>
      <w:rPr>
        <w:rFonts w:ascii="Symbol" w:hAnsi="Symbol" w:hint="default"/>
      </w:rPr>
    </w:lvl>
    <w:lvl w:ilvl="7" w:tplc="08090003">
      <w:start w:val="1"/>
      <w:numFmt w:val="bullet"/>
      <w:lvlText w:val="o"/>
      <w:lvlJc w:val="left"/>
      <w:pPr>
        <w:tabs>
          <w:tab w:val="num" w:pos="5126"/>
        </w:tabs>
        <w:ind w:left="5126" w:hanging="360"/>
      </w:pPr>
      <w:rPr>
        <w:rFonts w:ascii="Courier New" w:hAnsi="Courier New" w:cs="Courier New" w:hint="default"/>
      </w:rPr>
    </w:lvl>
    <w:lvl w:ilvl="8" w:tplc="08090005">
      <w:start w:val="1"/>
      <w:numFmt w:val="bullet"/>
      <w:lvlText w:val=""/>
      <w:lvlJc w:val="left"/>
      <w:pPr>
        <w:tabs>
          <w:tab w:val="num" w:pos="5846"/>
        </w:tabs>
        <w:ind w:left="5846" w:hanging="360"/>
      </w:pPr>
      <w:rPr>
        <w:rFonts w:ascii="Wingdings" w:hAnsi="Wingdings" w:hint="default"/>
      </w:rPr>
    </w:lvl>
  </w:abstractNum>
  <w:abstractNum w:abstractNumId="3">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4">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C41"/>
    <w:rsid w:val="000138F5"/>
    <w:rsid w:val="00055BEA"/>
    <w:rsid w:val="00072A8B"/>
    <w:rsid w:val="001134C2"/>
    <w:rsid w:val="00135CCE"/>
    <w:rsid w:val="00195024"/>
    <w:rsid w:val="001A7774"/>
    <w:rsid w:val="001A7D96"/>
    <w:rsid w:val="001E51B1"/>
    <w:rsid w:val="00214695"/>
    <w:rsid w:val="002A38BE"/>
    <w:rsid w:val="00312CEC"/>
    <w:rsid w:val="00352929"/>
    <w:rsid w:val="00457F90"/>
    <w:rsid w:val="005975CC"/>
    <w:rsid w:val="00621C41"/>
    <w:rsid w:val="00670DC3"/>
    <w:rsid w:val="006D461E"/>
    <w:rsid w:val="007074AA"/>
    <w:rsid w:val="00782B77"/>
    <w:rsid w:val="007947AB"/>
    <w:rsid w:val="007C23F2"/>
    <w:rsid w:val="008D1352"/>
    <w:rsid w:val="009350D6"/>
    <w:rsid w:val="009C335C"/>
    <w:rsid w:val="00A16F09"/>
    <w:rsid w:val="00A35CBD"/>
    <w:rsid w:val="00AC14BC"/>
    <w:rsid w:val="00B04B07"/>
    <w:rsid w:val="00B23A54"/>
    <w:rsid w:val="00BB7862"/>
    <w:rsid w:val="00BC55BA"/>
    <w:rsid w:val="00D06733"/>
    <w:rsid w:val="00DC4E0A"/>
    <w:rsid w:val="00DD0121"/>
    <w:rsid w:val="00DD516A"/>
    <w:rsid w:val="00E90028"/>
    <w:rsid w:val="00EA20C9"/>
    <w:rsid w:val="00F362A4"/>
    <w:rsid w:val="00F709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08482">
      <w:bodyDiv w:val="1"/>
      <w:marLeft w:val="0"/>
      <w:marRight w:val="0"/>
      <w:marTop w:val="0"/>
      <w:marBottom w:val="0"/>
      <w:divBdr>
        <w:top w:val="none" w:sz="0" w:space="0" w:color="auto"/>
        <w:left w:val="none" w:sz="0" w:space="0" w:color="auto"/>
        <w:bottom w:val="none" w:sz="0" w:space="0" w:color="auto"/>
        <w:right w:val="none" w:sz="0" w:space="0" w:color="auto"/>
      </w:divBdr>
    </w:div>
    <w:div w:id="1216307873">
      <w:bodyDiv w:val="1"/>
      <w:marLeft w:val="0"/>
      <w:marRight w:val="0"/>
      <w:marTop w:val="0"/>
      <w:marBottom w:val="0"/>
      <w:divBdr>
        <w:top w:val="none" w:sz="0" w:space="0" w:color="auto"/>
        <w:left w:val="none" w:sz="0" w:space="0" w:color="auto"/>
        <w:bottom w:val="none" w:sz="0" w:space="0" w:color="auto"/>
        <w:right w:val="none" w:sz="0" w:space="0" w:color="auto"/>
      </w:divBdr>
    </w:div>
    <w:div w:id="1419787073">
      <w:bodyDiv w:val="1"/>
      <w:marLeft w:val="0"/>
      <w:marRight w:val="0"/>
      <w:marTop w:val="0"/>
      <w:marBottom w:val="0"/>
      <w:divBdr>
        <w:top w:val="none" w:sz="0" w:space="0" w:color="auto"/>
        <w:left w:val="none" w:sz="0" w:space="0" w:color="auto"/>
        <w:bottom w:val="none" w:sz="0" w:space="0" w:color="auto"/>
        <w:right w:val="none" w:sz="0" w:space="0" w:color="auto"/>
      </w:divBdr>
    </w:div>
    <w:div w:id="1423837631">
      <w:bodyDiv w:val="1"/>
      <w:marLeft w:val="0"/>
      <w:marRight w:val="0"/>
      <w:marTop w:val="0"/>
      <w:marBottom w:val="0"/>
      <w:divBdr>
        <w:top w:val="none" w:sz="0" w:space="0" w:color="auto"/>
        <w:left w:val="none" w:sz="0" w:space="0" w:color="auto"/>
        <w:bottom w:val="none" w:sz="0" w:space="0" w:color="auto"/>
        <w:right w:val="none" w:sz="0" w:space="0" w:color="auto"/>
      </w:divBdr>
    </w:div>
    <w:div w:id="1580753550">
      <w:bodyDiv w:val="1"/>
      <w:marLeft w:val="0"/>
      <w:marRight w:val="0"/>
      <w:marTop w:val="0"/>
      <w:marBottom w:val="0"/>
      <w:divBdr>
        <w:top w:val="none" w:sz="0" w:space="0" w:color="auto"/>
        <w:left w:val="none" w:sz="0" w:space="0" w:color="auto"/>
        <w:bottom w:val="none" w:sz="0" w:space="0" w:color="auto"/>
        <w:right w:val="none" w:sz="0" w:space="0" w:color="auto"/>
      </w:divBdr>
    </w:div>
    <w:div w:id="1583251112">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50079994">
      <w:bodyDiv w:val="1"/>
      <w:marLeft w:val="0"/>
      <w:marRight w:val="0"/>
      <w:marTop w:val="0"/>
      <w:marBottom w:val="0"/>
      <w:divBdr>
        <w:top w:val="none" w:sz="0" w:space="0" w:color="auto"/>
        <w:left w:val="none" w:sz="0" w:space="0" w:color="auto"/>
        <w:bottom w:val="none" w:sz="0" w:space="0" w:color="auto"/>
        <w:right w:val="none" w:sz="0" w:space="0" w:color="auto"/>
      </w:divBdr>
    </w:div>
    <w:div w:id="185919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4CDE1-182F-4D97-9ED8-98A9488EE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1519</Words>
  <Characters>8660</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8</cp:revision>
  <dcterms:created xsi:type="dcterms:W3CDTF">2014-11-12T12:43:00Z</dcterms:created>
  <dcterms:modified xsi:type="dcterms:W3CDTF">2014-11-17T13:05:00Z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